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37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 проведении заседания </w:t>
      </w:r>
      <w:r>
        <w:rPr>
          <w:sz w:val="28"/>
          <w:szCs w:val="28"/>
        </w:rPr>
        <w:t xml:space="preserve">Комитета </w:t>
      </w:r>
      <w:r>
        <w:rPr>
          <w:sz w:val="28"/>
          <w:szCs w:val="28"/>
        </w:rPr>
      </w:r>
      <w:r/>
    </w:p>
    <w:p>
      <w:pPr>
        <w:pStyle w:val="37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Управления Федерального казначейства по г. Санкт-Петербургу </w:t>
      </w:r>
      <w:r>
        <w:rPr>
          <w:sz w:val="28"/>
          <w:szCs w:val="28"/>
        </w:rPr>
      </w:r>
      <w:r/>
    </w:p>
    <w:p>
      <w:pPr>
        <w:pStyle w:val="37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внутреннему контролю и внутреннему аудиту</w:t>
      </w:r>
      <w:r>
        <w:rPr>
          <w:sz w:val="28"/>
          <w:szCs w:val="28"/>
        </w:rPr>
      </w:r>
      <w:r/>
    </w:p>
    <w:p>
      <w:pPr>
        <w:pStyle w:val="371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371"/>
        <w:ind w:firstLine="720"/>
        <w:jc w:val="both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Стандартом № 5 «Организация деятельности комитетов ТОФК, ФКУ «ЦОКР» по внутреннему конт</w:t>
      </w:r>
      <w:r>
        <w:rPr>
          <w:sz w:val="28"/>
          <w:szCs w:val="28"/>
        </w:rPr>
        <w:t xml:space="preserve">ролю и внутреннему аудиту» Стандартов ведомственного контроля и внутреннего аудита Федерального казначейства, применяемых контрольно-аудиторскими подразделениями Федерального казначейства при осуществлении ими контрольной и аудиторской деятельности, утверж</w:t>
      </w:r>
      <w:r>
        <w:rPr>
          <w:sz w:val="28"/>
          <w:szCs w:val="28"/>
        </w:rPr>
        <w:t xml:space="preserve">денных приказом Федерального казначейства от 28.12.2018 № 442, </w:t>
      </w:r>
      <w:r>
        <w:rPr>
          <w:sz w:val="28"/>
          <w:szCs w:val="28"/>
        </w:rPr>
        <w:t xml:space="preserve">29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5.20</w:t>
      </w:r>
      <w:r>
        <w:rPr>
          <w:sz w:val="28"/>
          <w:szCs w:val="28"/>
        </w:rPr>
        <w:t xml:space="preserve">20 </w:t>
      </w:r>
      <w:r>
        <w:rPr>
          <w:sz w:val="28"/>
          <w:szCs w:val="28"/>
        </w:rPr>
        <w:t xml:space="preserve"> проведено заседание Комитета Управления Федерального казначейства по г. Санкт-Петербургу по внутреннему контролю и внутреннему аудиту, на котором рассмотрены результаты </w:t>
      </w:r>
      <w:r>
        <w:rPr>
          <w:sz w:val="28"/>
          <w:szCs w:val="28"/>
        </w:rPr>
        <w:t xml:space="preserve">проведенной проверки в Отделе ведения федеральных реестров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Управления.</w:t>
      </w:r>
      <w:r/>
    </w:p>
    <w:p>
      <w:pPr>
        <w:pStyle w:val="371"/>
        <w:ind w:firstLine="720"/>
        <w:jc w:val="both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На заседании были даны соответствующие рекомендации (предложения) по дальнейшей организации деятельности</w:t>
      </w:r>
      <w:r>
        <w:rPr>
          <w:sz w:val="28"/>
          <w:szCs w:val="28"/>
        </w:rPr>
        <w:t xml:space="preserve">. </w:t>
      </w:r>
      <w:r/>
    </w:p>
    <w:p>
      <w:pPr>
        <w:pStyle w:val="371"/>
        <w:ind w:firstLine="720"/>
        <w:jc w:val="both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заседания Комитета оформлен протокол от </w:t>
      </w:r>
      <w:r>
        <w:rPr>
          <w:sz w:val="28"/>
          <w:szCs w:val="28"/>
        </w:rPr>
        <w:t xml:space="preserve">29.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5.20</w:t>
      </w:r>
      <w:r>
        <w:rPr>
          <w:sz w:val="28"/>
          <w:szCs w:val="28"/>
        </w:rPr>
        <w:t xml:space="preserve">20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5.</w:t>
      </w:r>
      <w:r>
        <w:rPr>
          <w:sz w:val="28"/>
          <w:szCs w:val="28"/>
        </w:rPr>
      </w:r>
      <w:r/>
    </w:p>
    <w:sectPr>
      <w:footnotePr/>
      <w:type w:val="nextPage"/>
      <w:pgSz w:w="11906" w:h="16838" w:orient="portrait"/>
      <w:pgMar w:top="1134" w:right="567" w:bottom="1134" w:left="1134" w:header="709" w:footer="709" w:gutter="0"/>
      <w:cols w:num="1" w:sep="0" w:space="708" w:equalWidth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>
  <w:footnote w:type="separator" w:id="-1">
    <w:p>
      <w:pPr>
        <w:spacing w:lineRule="auto" w:line="240" w:after="0"/>
      </w:pPr>
      <w:r/>
      <w:r>
        <w:separator/>
      </w:r>
      <w:r/>
    </w:p>
  </w:footnote>
  <w:footnote w:type="continuationSeparator" w:id="0">
    <w:p>
      <w:pPr>
        <w:spacing w:lineRule="auto" w:line="240" w:after="0"/>
      </w:pPr>
      <w:r/>
      <w:r>
        <w:continuationSeparator/>
      </w:r>
      <w:r/>
    </w:p>
  </w:footnote>
</w:footnote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 w:hint="default"/>
        <w:color w:val="auto"/>
        <w:spacing w:val="0"/>
        <w:position w:val="0"/>
        <w:sz w:val="20"/>
        <w:szCs w:val="22"/>
        <w:lang w:val="ru-RU" w:bidi="en-US" w:eastAsia="en-US"/>
      </w:rPr>
    </w:rPrDefault>
    <w:pPrDefault>
      <w:pPr>
        <w:ind w:left="0" w:right="0" w:firstLine="0"/>
        <w:jc w:val="left"/>
        <w:spacing w:lineRule="auto" w:line="240" w:after="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8"/>
    <w:next w:val="8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9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8"/>
    <w:next w:val="8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9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8"/>
    <w:next w:val="8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9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8"/>
    <w:next w:val="8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9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8"/>
    <w:next w:val="8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9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8"/>
    <w:next w:val="8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9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8"/>
    <w:next w:val="8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9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8"/>
    <w:next w:val="8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9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8"/>
    <w:next w:val="8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9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8"/>
    <w:qFormat/>
    <w:uiPriority w:val="34"/>
    <w:pPr>
      <w:contextualSpacing w:val="true"/>
      <w:ind w:left="720"/>
    </w:p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8"/>
    <w:next w:val="8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9"/>
    <w:link w:val="32"/>
    <w:uiPriority w:val="10"/>
    <w:rPr>
      <w:sz w:val="48"/>
      <w:szCs w:val="48"/>
    </w:rPr>
  </w:style>
  <w:style w:type="paragraph" w:styleId="34">
    <w:name w:val="Subtitle"/>
    <w:basedOn w:val="8"/>
    <w:next w:val="8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9"/>
    <w:link w:val="34"/>
    <w:uiPriority w:val="11"/>
    <w:rPr>
      <w:sz w:val="24"/>
      <w:szCs w:val="24"/>
    </w:rPr>
  </w:style>
  <w:style w:type="paragraph" w:styleId="36">
    <w:name w:val="Quote"/>
    <w:basedOn w:val="8"/>
    <w:next w:val="8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8"/>
    <w:next w:val="8"/>
    <w:link w:val="39"/>
    <w:qFormat/>
    <w:uiPriority w:val="30"/>
    <w:rPr>
      <w:i/>
    </w:rPr>
    <w:pPr>
      <w:contextualSpacing w:val="false"/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8"/>
    <w:link w:val="4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9"/>
    <w:link w:val="40"/>
    <w:uiPriority w:val="99"/>
  </w:style>
  <w:style w:type="paragraph" w:styleId="42">
    <w:name w:val="Footer"/>
    <w:basedOn w:val="8"/>
    <w:link w:val="45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9"/>
    <w:link w:val="42"/>
    <w:uiPriority w:val="99"/>
  </w:style>
  <w:style w:type="paragraph" w:styleId="44">
    <w:name w:val="Caption"/>
    <w:basedOn w:val="8"/>
    <w:next w:val="8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42"/>
    <w:uiPriority w:val="99"/>
  </w:style>
  <w:style w:type="table" w:styleId="46">
    <w:name w:val="Table Grid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30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text1" w:themeFillTint="40"/>
    </w:tblPr>
    <w:tblStylePr w:type="band1Horz">
      <w:tcPr>
        <w:shd w:val="clear" w:color="auto" w:fill="FFFFFF" w:themeFill="text1" w:themeFillTint="75"/>
      </w:tcPr>
    </w:tblStylePr>
    <w:tblStylePr w:type="band1Vert">
      <w:tcPr>
        <w:shd w:val="clear" w:color="auto" w:fill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1" w:themeFillTint="34"/>
    </w:tblPr>
    <w:tblStylePr w:type="band1Horz">
      <w:tcPr>
        <w:shd w:val="clear" w:color="auto" w:fill="FFFFFF" w:themeFill="accent1" w:themeFillTint="75"/>
      </w:tcPr>
    </w:tblStylePr>
    <w:tblStylePr w:type="band1Vert">
      <w:tcPr>
        <w:shd w:val="clear" w:color="auto" w:fill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2" w:themeFillTint="32"/>
    </w:tblPr>
    <w:tblStylePr w:type="band1Horz">
      <w:tcPr>
        <w:shd w:val="clear" w:color="auto" w:fill="FFFFFF" w:themeFill="accent2" w:themeFillTint="75"/>
      </w:tcPr>
    </w:tblStylePr>
    <w:tblStylePr w:type="band1Vert">
      <w:tcPr>
        <w:shd w:val="clear" w:color="auto" w:fill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3" w:themeFillTint="34"/>
    </w:tblPr>
    <w:tblStylePr w:type="band1Horz">
      <w:tcPr>
        <w:shd w:val="clear" w:color="auto" w:fill="FFFFFF" w:themeFill="accent3" w:themeFillTint="75"/>
      </w:tcPr>
    </w:tblStylePr>
    <w:tblStylePr w:type="band1Vert">
      <w:tcPr>
        <w:shd w:val="clear" w:color="auto" w:fill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4" w:themeFillTint="34"/>
    </w:tblPr>
    <w:tblStylePr w:type="band1Horz">
      <w:tcPr>
        <w:shd w:val="clear" w:color="auto" w:fill="FFFFFF" w:themeFill="accent4" w:themeFillTint="75"/>
      </w:tcPr>
    </w:tblStylePr>
    <w:tblStylePr w:type="band1Vert">
      <w:tcPr>
        <w:shd w:val="clear" w:color="auto" w:fill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5" w:themeFillTint="34"/>
    </w:tblPr>
    <w:tblStylePr w:type="band1Horz">
      <w:tcPr>
        <w:shd w:val="clear" w:color="auto" w:fill="FFFFFF" w:themeFill="accent5" w:themeFillTint="75"/>
      </w:tcPr>
    </w:tblStylePr>
    <w:tblStylePr w:type="band1Vert">
      <w:tcPr>
        <w:shd w:val="clear" w:color="auto" w:fill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6" w:themeFillTint="34"/>
    </w:tblPr>
    <w:tblStylePr w:type="band1Horz">
      <w:tcPr>
        <w:shd w:val="clear" w:color="auto" w:fill="FFFFFF" w:themeFill="accent6" w:themeFillTint="75"/>
      </w:tcPr>
    </w:tblStylePr>
    <w:tblStylePr w:type="band1Vert">
      <w:tcPr>
        <w:shd w:val="clear" w:color="auto" w:fill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auto" w:fill="FFFFFF" w:themeFill="text1" w:themeFillTint="34"/>
      </w:tcPr>
    </w:tblStylePr>
    <w:tblStylePr w:type="band1Vert">
      <w:tcPr>
        <w:shd w:val="clear" w:color="auto" w:fill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auto" w:fill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auto" w:fill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auto" w:fill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auto" w:fill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auto" w:fill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auto" w:fill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auto" w:fill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auto" w:fill="FFFFFF" w:themeFill="text1" w:themeFillTint="80"/>
    </w:tblPr>
    <w:tblStylePr w:type="band1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auto" w:fill="FFFFFF" w:themeFill="accent1"/>
    </w:tblPr>
    <w:tblStylePr w:type="band1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auto" w:fill="FFFFFF" w:themeFill="accent2" w:themeFillTint="97"/>
    </w:tblPr>
    <w:tblStylePr w:type="band1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auto" w:fill="FFFFFF" w:themeFill="accent3" w:themeFillTint="98"/>
    </w:tblPr>
    <w:tblStylePr w:type="band1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auto" w:fill="FFFFFF" w:themeFill="accent4" w:themeFillTint="9A"/>
    </w:tblPr>
    <w:tblStylePr w:type="band1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auto" w:fill="FFFFFF" w:themeFill="accent5" w:themeFillTint="9A"/>
    </w:tblPr>
    <w:tblStylePr w:type="band1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auto" w:fill="FFFFFF" w:themeFill="accent6" w:themeFillTint="98"/>
    </w:tblPr>
    <w:tblStylePr w:type="band1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auto" w:fill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auto" w:fill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auto" w:fill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auto" w:fill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auto" w:fill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auto" w:fill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auto" w:fill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152">
    <w:name w:val="Lined - Accent 1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153">
    <w:name w:val="Lined - Accent 2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154">
    <w:name w:val="Lined - Accent 3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155">
    <w:name w:val="Lined - Accent 4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156">
    <w:name w:val="Lined - Accent 5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157">
    <w:name w:val="Lined - Accent 6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158">
    <w:name w:val="Bordered &amp; Lined - Accent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159">
    <w:name w:val="Bordered &amp; Lined - Accent 1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160">
    <w:name w:val="Bordered &amp; Lined - Accent 2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161">
    <w:name w:val="Bordered &amp; Lined - Accent 3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162">
    <w:name w:val="Bordered &amp; Lined - Accent 4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163">
    <w:name w:val="Bordered &amp; Lined - Accent 5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164">
    <w:name w:val="Bordered &amp; Lined - Accent 6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165">
    <w:name w:val="Bordered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8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9"/>
    <w:uiPriority w:val="99"/>
    <w:unhideWhenUsed/>
    <w:rPr>
      <w:vertAlign w:val="superscript"/>
    </w:rPr>
  </w:style>
  <w:style w:type="paragraph" w:styleId="176">
    <w:name w:val="toc 1"/>
    <w:basedOn w:val="8"/>
    <w:next w:val="8"/>
    <w:uiPriority w:val="39"/>
    <w:unhideWhenUsed/>
    <w:pPr>
      <w:ind w:left="0" w:right="0" w:firstLine="0"/>
      <w:spacing w:after="57"/>
    </w:pPr>
  </w:style>
  <w:style w:type="paragraph" w:styleId="177">
    <w:name w:val="toc 2"/>
    <w:basedOn w:val="8"/>
    <w:next w:val="8"/>
    <w:uiPriority w:val="39"/>
    <w:unhideWhenUsed/>
    <w:pPr>
      <w:ind w:left="283" w:right="0" w:firstLine="0"/>
      <w:spacing w:after="57"/>
    </w:pPr>
  </w:style>
  <w:style w:type="paragraph" w:styleId="178">
    <w:name w:val="toc 3"/>
    <w:basedOn w:val="8"/>
    <w:next w:val="8"/>
    <w:uiPriority w:val="39"/>
    <w:unhideWhenUsed/>
    <w:pPr>
      <w:ind w:left="567" w:right="0" w:firstLine="0"/>
      <w:spacing w:after="57"/>
    </w:pPr>
  </w:style>
  <w:style w:type="paragraph" w:styleId="179">
    <w:name w:val="toc 4"/>
    <w:basedOn w:val="8"/>
    <w:next w:val="8"/>
    <w:uiPriority w:val="39"/>
    <w:unhideWhenUsed/>
    <w:pPr>
      <w:ind w:left="850" w:right="0" w:firstLine="0"/>
      <w:spacing w:after="57"/>
    </w:pPr>
  </w:style>
  <w:style w:type="paragraph" w:styleId="180">
    <w:name w:val="toc 5"/>
    <w:basedOn w:val="8"/>
    <w:next w:val="8"/>
    <w:uiPriority w:val="39"/>
    <w:unhideWhenUsed/>
    <w:pPr>
      <w:ind w:left="1134" w:right="0" w:firstLine="0"/>
      <w:spacing w:after="57"/>
    </w:pPr>
  </w:style>
  <w:style w:type="paragraph" w:styleId="181">
    <w:name w:val="toc 6"/>
    <w:basedOn w:val="8"/>
    <w:next w:val="8"/>
    <w:uiPriority w:val="39"/>
    <w:unhideWhenUsed/>
    <w:pPr>
      <w:ind w:left="1417" w:right="0" w:firstLine="0"/>
      <w:spacing w:after="57"/>
    </w:pPr>
  </w:style>
  <w:style w:type="paragraph" w:styleId="182">
    <w:name w:val="toc 7"/>
    <w:basedOn w:val="8"/>
    <w:next w:val="8"/>
    <w:uiPriority w:val="39"/>
    <w:unhideWhenUsed/>
    <w:pPr>
      <w:ind w:left="1701" w:right="0" w:firstLine="0"/>
      <w:spacing w:after="57"/>
    </w:pPr>
  </w:style>
  <w:style w:type="paragraph" w:styleId="183">
    <w:name w:val="toc 8"/>
    <w:basedOn w:val="8"/>
    <w:next w:val="8"/>
    <w:uiPriority w:val="39"/>
    <w:unhideWhenUsed/>
    <w:pPr>
      <w:ind w:left="1984" w:right="0" w:firstLine="0"/>
      <w:spacing w:after="57"/>
    </w:pPr>
  </w:style>
  <w:style w:type="paragraph" w:styleId="184">
    <w:name w:val="toc 9"/>
    <w:basedOn w:val="8"/>
    <w:next w:val="8"/>
    <w:uiPriority w:val="39"/>
    <w:unhideWhenUsed/>
    <w:pPr>
      <w:ind w:left="2268" w:right="0" w:firstLine="0"/>
      <w:spacing w:after="57"/>
    </w:pPr>
  </w:style>
  <w:style w:type="paragraph" w:styleId="185">
    <w:name w:val="TOC Heading"/>
    <w:uiPriority w:val="39"/>
    <w:unhideWhenUsed/>
  </w:style>
  <w:style w:type="paragraph" w:styleId="371">
    <w:name w:val="Обычный"/>
    <w:next w:val="371"/>
    <w:link w:val="371"/>
    <w:rPr>
      <w:sz w:val="24"/>
      <w:szCs w:val="24"/>
      <w:lang w:val="ru-RU" w:bidi="ar-SA" w:eastAsia="ru-RU"/>
    </w:rPr>
  </w:style>
  <w:style w:type="character" w:styleId="372">
    <w:name w:val="Основной шрифт абзаца"/>
    <w:next w:val="372"/>
    <w:link w:val="371"/>
    <w:semiHidden/>
  </w:style>
  <w:style w:type="table" w:styleId="373">
    <w:name w:val="Обычная таблица"/>
    <w:next w:val="373"/>
    <w:link w:val="371"/>
    <w:semiHidden/>
    <w:tblPr/>
  </w:style>
  <w:style w:type="numbering" w:styleId="374">
    <w:name w:val="Нет списка"/>
    <w:next w:val="374"/>
    <w:link w:val="371"/>
    <w:semiHidden/>
  </w:style>
  <w:style w:type="paragraph" w:styleId="375">
    <w:name w:val="Обычный (веб)"/>
    <w:basedOn w:val="371"/>
    <w:next w:val="375"/>
    <w:link w:val="371"/>
    <w:pPr>
      <w:spacing w:after="100" w:afterAutospacing="1" w:before="100" w:beforeAutospacing="1"/>
    </w:pPr>
  </w:style>
  <w:style w:type="paragraph" w:styleId="376">
    <w:name w:val="ConsPlusNonformat"/>
    <w:next w:val="376"/>
    <w:link w:val="377"/>
    <w:rPr>
      <w:rFonts w:ascii="Courier New" w:hAnsi="Courier New"/>
      <w:lang w:val="ru-RU" w:bidi="ar-SA" w:eastAsia="ru-RU"/>
    </w:rPr>
    <w:pPr>
      <w:widowControl w:val="off"/>
    </w:pPr>
  </w:style>
  <w:style w:type="character" w:styleId="377">
    <w:name w:val="ConsPlusNonformat Знак"/>
    <w:next w:val="377"/>
    <w:link w:val="376"/>
    <w:rPr>
      <w:rFonts w:ascii="Courier New" w:hAnsi="Courier New"/>
    </w:rPr>
  </w:style>
  <w:style w:type="character" w:styleId="436" w:default="1">
    <w:name w:val="Default Paragraph Font"/>
    <w:uiPriority w:val="1"/>
    <w:semiHidden/>
    <w:unhideWhenUsed/>
  </w:style>
  <w:style w:type="numbering" w:styleId="437" w:default="1">
    <w:name w:val="No List"/>
    <w:uiPriority w:val="99"/>
    <w:semiHidden/>
    <w:unhideWhenUsed/>
  </w:style>
  <w:style w:type="paragraph" w:styleId="438" w:default="1">
    <w:name w:val="Normal"/>
    <w:qFormat/>
  </w:style>
  <w:style w:type="table" w:styleId="43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/>
        <a:solidFill/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Р7-Офис/5.5.2.17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2020-05-29T07:05:59Z</dcterms:modified>
</cp:coreProperties>
</file>